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B0495" w14:textId="7ABC0366" w:rsidR="0005759D" w:rsidRPr="0005759D" w:rsidRDefault="0005759D" w:rsidP="0005759D">
      <w:pPr>
        <w:widowControl w:val="0"/>
        <w:tabs>
          <w:tab w:val="right" w:pos="9639"/>
        </w:tabs>
        <w:overflowPunct w:val="0"/>
        <w:autoSpaceDE w:val="0"/>
        <w:autoSpaceDN w:val="0"/>
        <w:adjustRightInd w:val="0"/>
        <w:spacing w:after="0" w:line="240" w:lineRule="auto"/>
        <w:ind w:left="0" w:firstLine="0"/>
        <w:jc w:val="both"/>
        <w:textAlignment w:val="baseline"/>
        <w:rPr>
          <w:rFonts w:ascii="Arial" w:eastAsia="Yu Mincho" w:hAnsi="Arial" w:cs="Arial"/>
          <w:b/>
          <w:bCs/>
          <w:i/>
          <w:color w:val="auto"/>
          <w:sz w:val="24"/>
          <w:szCs w:val="24"/>
          <w:lang w:eastAsia="ja-JP"/>
        </w:rPr>
      </w:pPr>
      <w:bookmarkStart w:id="0" w:name="_Hlk519580081"/>
      <w:r w:rsidRPr="0005759D">
        <w:rPr>
          <w:rFonts w:ascii="Arial" w:eastAsia="Yu Mincho" w:hAnsi="Arial" w:cs="Arial"/>
          <w:b/>
          <w:bCs/>
          <w:color w:val="auto"/>
          <w:sz w:val="24"/>
          <w:szCs w:val="24"/>
          <w:lang w:eastAsia="ja-JP"/>
        </w:rPr>
        <w:t>3GPP TSG-RAN WG3 Meeting #112-e</w:t>
      </w:r>
      <w:r w:rsidRPr="0005759D">
        <w:rPr>
          <w:rFonts w:ascii="Arial" w:eastAsia="Yu Mincho" w:hAnsi="Arial" w:cs="Arial"/>
          <w:b/>
          <w:bCs/>
          <w:color w:val="auto"/>
          <w:sz w:val="24"/>
          <w:szCs w:val="24"/>
          <w:lang w:eastAsia="ja-JP"/>
        </w:rPr>
        <w:tab/>
        <w:t>R3-21</w:t>
      </w:r>
      <w:r>
        <w:rPr>
          <w:rFonts w:ascii="Arial" w:eastAsia="Yu Mincho" w:hAnsi="Arial" w:cs="Arial"/>
          <w:b/>
          <w:bCs/>
          <w:color w:val="auto"/>
          <w:sz w:val="24"/>
          <w:szCs w:val="24"/>
          <w:lang w:eastAsia="ja-JP"/>
        </w:rPr>
        <w:t>2613</w:t>
      </w:r>
    </w:p>
    <w:bookmarkEnd w:id="0"/>
    <w:p w14:paraId="0ABBA605" w14:textId="77777777" w:rsidR="0005759D" w:rsidRPr="0005759D" w:rsidRDefault="0005759D" w:rsidP="0005759D">
      <w:pPr>
        <w:widowControl w:val="0"/>
        <w:tabs>
          <w:tab w:val="left" w:pos="2410"/>
        </w:tabs>
        <w:overflowPunct w:val="0"/>
        <w:autoSpaceDE w:val="0"/>
        <w:autoSpaceDN w:val="0"/>
        <w:adjustRightInd w:val="0"/>
        <w:spacing w:after="0" w:line="240" w:lineRule="auto"/>
        <w:ind w:left="0" w:firstLine="0"/>
        <w:textAlignment w:val="baseline"/>
        <w:rPr>
          <w:rFonts w:ascii="Arial" w:eastAsia="MS Mincho" w:hAnsi="Arial" w:cs="Arial"/>
          <w:b/>
          <w:noProof/>
          <w:color w:val="auto"/>
          <w:sz w:val="24"/>
          <w:szCs w:val="24"/>
          <w:lang w:val="en-US" w:eastAsia="ja-JP"/>
        </w:rPr>
      </w:pPr>
      <w:r w:rsidRPr="0005759D">
        <w:rPr>
          <w:rFonts w:ascii="Arial" w:eastAsia="MS Mincho" w:hAnsi="Arial" w:cs="Arial"/>
          <w:b/>
          <w:noProof/>
          <w:color w:val="auto"/>
          <w:sz w:val="24"/>
          <w:szCs w:val="24"/>
          <w:lang w:val="en-US" w:eastAsia="ja-JP"/>
        </w:rPr>
        <w:t>E-meeting, 17 - 27.05.2021</w:t>
      </w:r>
    </w:p>
    <w:p w14:paraId="5BDCB1C8" w14:textId="77777777" w:rsidR="0005759D" w:rsidRPr="0005759D" w:rsidRDefault="0005759D" w:rsidP="0005759D">
      <w:pPr>
        <w:widowControl w:val="0"/>
        <w:tabs>
          <w:tab w:val="left" w:pos="2410"/>
        </w:tabs>
        <w:overflowPunct w:val="0"/>
        <w:autoSpaceDE w:val="0"/>
        <w:autoSpaceDN w:val="0"/>
        <w:adjustRightInd w:val="0"/>
        <w:spacing w:after="0" w:line="240" w:lineRule="auto"/>
        <w:ind w:left="0" w:firstLine="0"/>
        <w:textAlignment w:val="baseline"/>
        <w:rPr>
          <w:rFonts w:ascii="Arial" w:eastAsia="Yu Mincho" w:hAnsi="Arial"/>
          <w:b/>
          <w:bCs/>
          <w:color w:val="auto"/>
          <w:sz w:val="24"/>
          <w:szCs w:val="20"/>
          <w:lang w:val="en-US" w:eastAsia="ja-JP"/>
        </w:rPr>
      </w:pPr>
    </w:p>
    <w:p w14:paraId="3C9D26B0" w14:textId="39EC84AC" w:rsidR="0005759D" w:rsidRPr="0005759D" w:rsidRDefault="0005759D" w:rsidP="0005759D">
      <w:pPr>
        <w:tabs>
          <w:tab w:val="left" w:pos="1985"/>
          <w:tab w:val="left" w:pos="2410"/>
        </w:tabs>
        <w:spacing w:after="120" w:line="240" w:lineRule="auto"/>
        <w:ind w:left="0" w:firstLine="0"/>
        <w:rPr>
          <w:rFonts w:ascii="Arial" w:eastAsia="MS Mincho" w:hAnsi="Arial" w:cs="Arial"/>
          <w:b/>
          <w:bCs/>
          <w:color w:val="auto"/>
          <w:sz w:val="24"/>
          <w:szCs w:val="20"/>
          <w:lang w:eastAsia="ja-JP"/>
        </w:rPr>
      </w:pPr>
      <w:r w:rsidRPr="0005759D">
        <w:rPr>
          <w:rFonts w:ascii="Arial" w:eastAsia="MS Mincho" w:hAnsi="Arial" w:cs="Arial"/>
          <w:b/>
          <w:bCs/>
          <w:color w:val="auto"/>
          <w:sz w:val="24"/>
          <w:szCs w:val="20"/>
          <w:lang w:eastAsia="en-US"/>
        </w:rPr>
        <w:t>Agenda item:</w:t>
      </w:r>
      <w:r w:rsidRPr="0005759D">
        <w:rPr>
          <w:rFonts w:ascii="Arial" w:eastAsia="MS Mincho" w:hAnsi="Arial" w:cs="Arial"/>
          <w:b/>
          <w:bCs/>
          <w:color w:val="auto"/>
          <w:sz w:val="24"/>
          <w:szCs w:val="20"/>
          <w:lang w:eastAsia="en-US"/>
        </w:rPr>
        <w:tab/>
      </w:r>
      <w:r>
        <w:rPr>
          <w:rFonts w:ascii="Arial" w:eastAsia="MS Mincho" w:hAnsi="Arial" w:cs="Arial"/>
          <w:b/>
          <w:bCs/>
          <w:color w:val="auto"/>
          <w:sz w:val="24"/>
          <w:szCs w:val="20"/>
          <w:lang w:eastAsia="en-US"/>
        </w:rPr>
        <w:t>8.1</w:t>
      </w:r>
    </w:p>
    <w:p w14:paraId="73E21064" w14:textId="68F3B1BE" w:rsidR="0005759D" w:rsidRPr="0005759D" w:rsidRDefault="0005759D" w:rsidP="0005759D">
      <w:pPr>
        <w:tabs>
          <w:tab w:val="left" w:pos="1985"/>
          <w:tab w:val="left" w:pos="2410"/>
        </w:tabs>
        <w:spacing w:after="180" w:line="240" w:lineRule="auto"/>
        <w:ind w:left="1985" w:hanging="1985"/>
        <w:rPr>
          <w:rFonts w:ascii="Arial" w:eastAsia="Yu Mincho" w:hAnsi="Arial" w:cs="Arial"/>
          <w:b/>
          <w:bCs/>
          <w:color w:val="auto"/>
          <w:sz w:val="24"/>
          <w:szCs w:val="20"/>
          <w:lang w:eastAsia="en-US"/>
        </w:rPr>
      </w:pPr>
      <w:r w:rsidRPr="0005759D">
        <w:rPr>
          <w:rFonts w:ascii="Arial" w:eastAsia="Yu Mincho" w:hAnsi="Arial" w:cs="Arial"/>
          <w:b/>
          <w:bCs/>
          <w:color w:val="auto"/>
          <w:sz w:val="24"/>
          <w:szCs w:val="20"/>
          <w:lang w:eastAsia="en-US"/>
        </w:rPr>
        <w:t>Source:</w:t>
      </w:r>
      <w:r w:rsidRPr="0005759D">
        <w:rPr>
          <w:rFonts w:ascii="Arial" w:eastAsia="Yu Mincho" w:hAnsi="Arial" w:cs="Arial"/>
          <w:b/>
          <w:bCs/>
          <w:color w:val="auto"/>
          <w:sz w:val="24"/>
          <w:szCs w:val="20"/>
          <w:lang w:eastAsia="en-US"/>
        </w:rPr>
        <w:tab/>
        <w:t>Nokia</w:t>
      </w:r>
      <w:r>
        <w:rPr>
          <w:rFonts w:ascii="Arial" w:eastAsia="Yu Mincho" w:hAnsi="Arial" w:cs="Arial"/>
          <w:b/>
          <w:bCs/>
          <w:color w:val="auto"/>
          <w:sz w:val="24"/>
          <w:szCs w:val="20"/>
          <w:lang w:eastAsia="en-US"/>
        </w:rPr>
        <w:t xml:space="preserve"> (moderator)</w:t>
      </w:r>
    </w:p>
    <w:p w14:paraId="429BC018" w14:textId="4B76488B" w:rsidR="0005759D" w:rsidRPr="0005759D" w:rsidRDefault="0005759D" w:rsidP="0005759D">
      <w:pPr>
        <w:tabs>
          <w:tab w:val="left" w:pos="2410"/>
        </w:tabs>
        <w:spacing w:after="180" w:line="240" w:lineRule="auto"/>
        <w:ind w:left="1985" w:hanging="1985"/>
        <w:rPr>
          <w:rFonts w:ascii="Arial" w:eastAsia="Yu Mincho" w:hAnsi="Arial" w:cs="Arial"/>
          <w:b/>
          <w:bCs/>
          <w:color w:val="auto"/>
          <w:sz w:val="24"/>
          <w:szCs w:val="20"/>
          <w:lang w:eastAsia="en-US"/>
        </w:rPr>
      </w:pPr>
      <w:r w:rsidRPr="0005759D">
        <w:rPr>
          <w:rFonts w:ascii="Arial" w:eastAsia="Yu Mincho" w:hAnsi="Arial" w:cs="Arial"/>
          <w:b/>
          <w:bCs/>
          <w:color w:val="auto"/>
          <w:sz w:val="24"/>
          <w:szCs w:val="20"/>
          <w:lang w:eastAsia="en-US"/>
        </w:rPr>
        <w:t>Title:</w:t>
      </w:r>
      <w:r w:rsidRPr="0005759D">
        <w:rPr>
          <w:rFonts w:ascii="Arial" w:eastAsia="Yu Mincho" w:hAnsi="Arial" w:cs="Arial"/>
          <w:b/>
          <w:bCs/>
          <w:color w:val="auto"/>
          <w:sz w:val="24"/>
          <w:szCs w:val="20"/>
          <w:lang w:eastAsia="en-US"/>
        </w:rPr>
        <w:tab/>
        <w:t>Summary of Offline Discussion on HO terminology (CB #16)</w:t>
      </w:r>
    </w:p>
    <w:p w14:paraId="6C25249E" w14:textId="77777777" w:rsidR="0005759D" w:rsidRPr="0005759D" w:rsidRDefault="0005759D" w:rsidP="0005759D">
      <w:pPr>
        <w:tabs>
          <w:tab w:val="left" w:pos="1985"/>
          <w:tab w:val="left" w:pos="2410"/>
        </w:tabs>
        <w:spacing w:after="180" w:line="240" w:lineRule="auto"/>
        <w:ind w:left="0" w:firstLine="0"/>
        <w:rPr>
          <w:rFonts w:ascii="Arial" w:eastAsia="Yu Mincho" w:hAnsi="Arial" w:cs="Arial"/>
          <w:b/>
          <w:bCs/>
          <w:color w:val="auto"/>
          <w:sz w:val="24"/>
          <w:szCs w:val="20"/>
          <w:lang w:eastAsia="en-US"/>
        </w:rPr>
      </w:pPr>
      <w:r w:rsidRPr="0005759D">
        <w:rPr>
          <w:rFonts w:ascii="Arial" w:eastAsia="Yu Mincho" w:hAnsi="Arial" w:cs="Arial"/>
          <w:b/>
          <w:bCs/>
          <w:color w:val="auto"/>
          <w:sz w:val="24"/>
          <w:szCs w:val="20"/>
          <w:lang w:eastAsia="en-US"/>
        </w:rPr>
        <w:t>Document for:</w:t>
      </w:r>
      <w:r w:rsidRPr="0005759D">
        <w:rPr>
          <w:rFonts w:ascii="Arial" w:eastAsia="Yu Mincho" w:hAnsi="Arial" w:cs="Arial"/>
          <w:b/>
          <w:bCs/>
          <w:color w:val="auto"/>
          <w:sz w:val="24"/>
          <w:szCs w:val="20"/>
          <w:lang w:eastAsia="en-US"/>
        </w:rPr>
        <w:tab/>
        <w:t>Discussion</w:t>
      </w:r>
    </w:p>
    <w:p w14:paraId="67FAC1AC" w14:textId="77777777" w:rsidR="0005759D" w:rsidRPr="0005759D" w:rsidRDefault="0005759D" w:rsidP="0005759D">
      <w:pPr>
        <w:tabs>
          <w:tab w:val="left" w:pos="1985"/>
          <w:tab w:val="left" w:pos="2410"/>
        </w:tabs>
        <w:spacing w:after="180" w:line="240" w:lineRule="auto"/>
        <w:ind w:left="0" w:firstLine="0"/>
        <w:rPr>
          <w:rFonts w:ascii="Arial" w:eastAsia="Yu Mincho" w:hAnsi="Arial" w:cs="Arial"/>
          <w:bCs/>
          <w:color w:val="auto"/>
          <w:sz w:val="24"/>
          <w:szCs w:val="20"/>
          <w:lang w:eastAsia="en-US"/>
        </w:rPr>
      </w:pPr>
    </w:p>
    <w:p w14:paraId="4FE1EDD2" w14:textId="77777777" w:rsidR="00046646" w:rsidRDefault="00410B1E">
      <w:pPr>
        <w:spacing w:after="125" w:line="259" w:lineRule="auto"/>
        <w:ind w:left="0" w:right="-23" w:firstLine="0"/>
      </w:pPr>
      <w:r>
        <w:rPr>
          <w:rFonts w:ascii="Calibri" w:eastAsia="Calibri" w:hAnsi="Calibri" w:cs="Calibri"/>
          <w:noProof/>
        </w:rPr>
        <mc:AlternateContent>
          <mc:Choice Requires="wpg">
            <w:drawing>
              <wp:inline distT="0" distB="0" distL="0" distR="0" wp14:anchorId="494536E6" wp14:editId="7F57E533">
                <wp:extent cx="6120003" cy="12653"/>
                <wp:effectExtent l="0" t="0" r="0" b="0"/>
                <wp:docPr id="3116" name="Group 311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116"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14:paraId="296D794B" w14:textId="77777777" w:rsidR="00046646" w:rsidRDefault="00410B1E">
      <w:pPr>
        <w:pStyle w:val="Heading1"/>
        <w:ind w:left="1118" w:hanging="1133"/>
      </w:pPr>
      <w:r>
        <w:t>Introduction</w:t>
      </w:r>
    </w:p>
    <w:p w14:paraId="67D2EA37" w14:textId="77777777" w:rsidR="00046646" w:rsidRDefault="00410B1E">
      <w:pPr>
        <w:ind w:left="-5"/>
      </w:pPr>
      <w:r>
        <w:t>CB: # 16_HOterminology</w:t>
      </w:r>
    </w:p>
    <w:p w14:paraId="2170341F" w14:textId="77777777" w:rsidR="00046646" w:rsidRDefault="00410B1E">
      <w:pPr>
        <w:numPr>
          <w:ilvl w:val="0"/>
          <w:numId w:val="1"/>
        </w:numPr>
        <w:ind w:hanging="127"/>
      </w:pPr>
      <w:r>
        <w:t>(</w:t>
      </w:r>
      <w:proofErr w:type="spellStart"/>
      <w:proofErr w:type="gramStart"/>
      <w:r>
        <w:t>Nok,HW</w:t>
      </w:r>
      <w:proofErr w:type="spellEnd"/>
      <w:proofErr w:type="gramEnd"/>
      <w:r>
        <w:t>) RAN3 spec is aligned; no corrections needed; new terminology will be defined in the future if needed (up to SA5?)</w:t>
      </w:r>
    </w:p>
    <w:p w14:paraId="688C5191" w14:textId="77777777" w:rsidR="00046646" w:rsidRDefault="00410B1E">
      <w:pPr>
        <w:numPr>
          <w:ilvl w:val="0"/>
          <w:numId w:val="1"/>
        </w:numPr>
        <w:spacing w:after="304"/>
        <w:ind w:hanging="127"/>
      </w:pPr>
      <w:r>
        <w:t>(E///) Define “basic HO” in st2?</w:t>
      </w:r>
    </w:p>
    <w:p w14:paraId="6A220C61" w14:textId="77777777" w:rsidR="00046646" w:rsidRDefault="00410B1E">
      <w:pPr>
        <w:numPr>
          <w:ilvl w:val="0"/>
          <w:numId w:val="1"/>
        </w:numPr>
        <w:ind w:hanging="127"/>
      </w:pPr>
      <w:r>
        <w:t>agree reply LS</w:t>
      </w:r>
    </w:p>
    <w:p w14:paraId="3741C3E0" w14:textId="77777777" w:rsidR="00046646" w:rsidRDefault="00410B1E">
      <w:pPr>
        <w:ind w:left="-5"/>
      </w:pPr>
      <w:r>
        <w:t>(</w:t>
      </w:r>
      <w:proofErr w:type="spellStart"/>
      <w:r>
        <w:t>Nok</w:t>
      </w:r>
      <w:proofErr w:type="spellEnd"/>
      <w:r>
        <w:t xml:space="preserve"> - moderator)</w:t>
      </w:r>
    </w:p>
    <w:p w14:paraId="71042BA8" w14:textId="77777777" w:rsidR="00046646" w:rsidRDefault="00410B1E">
      <w:pPr>
        <w:ind w:left="-5"/>
      </w:pPr>
      <w:r>
        <w:t>[NWM] Summary of offline disc R3-212613</w:t>
      </w:r>
    </w:p>
    <w:p w14:paraId="480BD094" w14:textId="77777777" w:rsidR="00046646" w:rsidRDefault="00410B1E">
      <w:pPr>
        <w:spacing w:after="125" w:line="259" w:lineRule="auto"/>
        <w:ind w:left="0" w:right="-23" w:firstLine="0"/>
      </w:pPr>
      <w:r>
        <w:rPr>
          <w:rFonts w:ascii="Calibri" w:eastAsia="Calibri" w:hAnsi="Calibri" w:cs="Calibri"/>
          <w:noProof/>
        </w:rPr>
        <mc:AlternateContent>
          <mc:Choice Requires="wpg">
            <w:drawing>
              <wp:inline distT="0" distB="0" distL="0" distR="0" wp14:anchorId="6A00D8F3" wp14:editId="3D8FD332">
                <wp:extent cx="6120003" cy="12653"/>
                <wp:effectExtent l="0" t="0" r="0" b="0"/>
                <wp:docPr id="3117" name="Group 311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7" name="Shape 1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117" style="width:481.89pt;height:0.9963pt;mso-position-horizontal-relative:char;mso-position-vertical-relative:line" coordsize="61200,126">
                <v:shape id="Shape 17" style="position:absolute;width:61200;height:0;left:0;top:0;" coordsize="6120003,0" path="m0,0l6120003,0">
                  <v:stroke weight="0.9963pt" endcap="flat" joinstyle="miter" miterlimit="10" on="true" color="#000000"/>
                  <v:fill on="false" color="#000000" opacity="0"/>
                </v:shape>
              </v:group>
            </w:pict>
          </mc:Fallback>
        </mc:AlternateContent>
      </w:r>
    </w:p>
    <w:p w14:paraId="084DA40C" w14:textId="77777777" w:rsidR="00046646" w:rsidRDefault="00410B1E">
      <w:pPr>
        <w:pStyle w:val="Heading1"/>
        <w:ind w:left="1118" w:hanging="1133"/>
      </w:pPr>
      <w:r>
        <w:t>For the Chairman’s Notes</w:t>
      </w:r>
    </w:p>
    <w:p w14:paraId="259B1184" w14:textId="77777777" w:rsidR="00046646" w:rsidRDefault="00410B1E">
      <w:pPr>
        <w:ind w:left="-5"/>
      </w:pPr>
      <w:r>
        <w:t>It is proposed:</w:t>
      </w:r>
    </w:p>
    <w:p w14:paraId="48FBAE6C" w14:textId="77777777" w:rsidR="00046646" w:rsidRDefault="00410B1E">
      <w:pPr>
        <w:ind w:left="-5"/>
      </w:pPr>
      <w:r>
        <w:t>RAN3 sends a simple LS to SA5 indicating that in RAN3 part no issues with the naming has been identified. Regarding the naming, in Rel.16 we assumed following rule:</w:t>
      </w:r>
    </w:p>
    <w:p w14:paraId="7A5F4B49" w14:textId="77777777" w:rsidR="00046646" w:rsidRDefault="00410B1E">
      <w:pPr>
        <w:numPr>
          <w:ilvl w:val="0"/>
          <w:numId w:val="2"/>
        </w:numPr>
        <w:ind w:hanging="163"/>
      </w:pPr>
      <w:r>
        <w:t xml:space="preserve">For </w:t>
      </w:r>
      <w:proofErr w:type="gramStart"/>
      <w:r>
        <w:t>backward-compatibility</w:t>
      </w:r>
      <w:proofErr w:type="gramEnd"/>
      <w:r>
        <w:t>, “handover” is used for the classic Rel.15 HO ty</w:t>
      </w:r>
      <w:r>
        <w:t xml:space="preserve">pe, or where HO type is </w:t>
      </w:r>
      <w:proofErr w:type="spellStart"/>
      <w:r>
        <w:t>notrelevant</w:t>
      </w:r>
      <w:proofErr w:type="spellEnd"/>
      <w:r>
        <w:t>;</w:t>
      </w:r>
    </w:p>
    <w:p w14:paraId="34D8187F" w14:textId="77777777" w:rsidR="00046646" w:rsidRDefault="00410B1E">
      <w:pPr>
        <w:numPr>
          <w:ilvl w:val="0"/>
          <w:numId w:val="2"/>
        </w:numPr>
        <w:ind w:hanging="163"/>
      </w:pPr>
      <w:r>
        <w:t xml:space="preserve">“CHO” or “DAPS HO” is used where these </w:t>
      </w:r>
      <w:proofErr w:type="gramStart"/>
      <w:r>
        <w:t>particular HO</w:t>
      </w:r>
      <w:proofErr w:type="gramEnd"/>
      <w:r>
        <w:t xml:space="preserve"> types are referred.</w:t>
      </w:r>
    </w:p>
    <w:p w14:paraId="6130860B" w14:textId="77777777" w:rsidR="00046646" w:rsidRDefault="00410B1E">
      <w:pPr>
        <w:ind w:left="-5"/>
      </w:pPr>
      <w:r>
        <w:t>In the LS, we also indicate that:</w:t>
      </w:r>
    </w:p>
    <w:p w14:paraId="1D933FE5" w14:textId="77777777" w:rsidR="00046646" w:rsidRDefault="00410B1E">
      <w:pPr>
        <w:numPr>
          <w:ilvl w:val="0"/>
          <w:numId w:val="2"/>
        </w:numPr>
        <w:ind w:hanging="163"/>
      </w:pPr>
      <w:r>
        <w:t>RAN3 may still review the clarifications introduced in RAN2 to see if the naming may be made yet clearer.</w:t>
      </w:r>
    </w:p>
    <w:p w14:paraId="3506FD3F" w14:textId="77777777" w:rsidR="00046646" w:rsidRDefault="00410B1E">
      <w:pPr>
        <w:numPr>
          <w:ilvl w:val="0"/>
          <w:numId w:val="2"/>
        </w:numPr>
        <w:ind w:hanging="163"/>
      </w:pPr>
      <w:r>
        <w:t>In future, HO naming will be decided as needed.</w:t>
      </w:r>
    </w:p>
    <w:p w14:paraId="682E378C" w14:textId="77777777" w:rsidR="00046646" w:rsidRDefault="00410B1E">
      <w:pPr>
        <w:spacing w:after="260"/>
        <w:ind w:left="-5"/>
        <w:jc w:val="both"/>
      </w:pPr>
      <w:r>
        <w:rPr>
          <w:b/>
        </w:rPr>
        <w:t xml:space="preserve">LS out in R3-211507 rev in R3-212907 - </w:t>
      </w:r>
      <w:r w:rsidRPr="0005759D">
        <w:rPr>
          <w:b/>
          <w:color w:val="00B050"/>
        </w:rPr>
        <w:t xml:space="preserve">agreed </w:t>
      </w:r>
      <w:r>
        <w:rPr>
          <w:b/>
        </w:rPr>
        <w:t>(final)</w:t>
      </w:r>
    </w:p>
    <w:p w14:paraId="5015D1A5" w14:textId="77777777" w:rsidR="00046646" w:rsidRDefault="00410B1E">
      <w:pPr>
        <w:spacing w:after="125" w:line="259" w:lineRule="auto"/>
        <w:ind w:left="0" w:right="-23" w:firstLine="0"/>
      </w:pPr>
      <w:r>
        <w:rPr>
          <w:rFonts w:ascii="Calibri" w:eastAsia="Calibri" w:hAnsi="Calibri" w:cs="Calibri"/>
          <w:noProof/>
        </w:rPr>
        <w:lastRenderedPageBreak/>
        <mc:AlternateContent>
          <mc:Choice Requires="wpg">
            <w:drawing>
              <wp:inline distT="0" distB="0" distL="0" distR="0" wp14:anchorId="51A5F4BD" wp14:editId="66AACCC0">
                <wp:extent cx="6120003" cy="12653"/>
                <wp:effectExtent l="0" t="0" r="0" b="0"/>
                <wp:docPr id="3118" name="Group 311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9" name="Shape 2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118" style="width:481.89pt;height:0.9963pt;mso-position-horizontal-relative:char;mso-position-vertical-relative:line" coordsize="61200,126">
                <v:shape id="Shape 29" style="position:absolute;width:61200;height:0;left:0;top:0;" coordsize="6120003,0" path="m0,0l6120003,0">
                  <v:stroke weight="0.9963pt" endcap="flat" joinstyle="miter" miterlimit="10" on="true" color="#000000"/>
                  <v:fill on="false" color="#000000" opacity="0"/>
                </v:shape>
              </v:group>
            </w:pict>
          </mc:Fallback>
        </mc:AlternateContent>
      </w:r>
    </w:p>
    <w:p w14:paraId="70189456" w14:textId="77777777" w:rsidR="00046646" w:rsidRDefault="00410B1E">
      <w:pPr>
        <w:pStyle w:val="Heading1"/>
        <w:ind w:left="1118" w:hanging="1133"/>
      </w:pPr>
      <w:r>
        <w:t>Discussion</w:t>
      </w:r>
    </w:p>
    <w:p w14:paraId="79FF8892" w14:textId="77777777" w:rsidR="00046646" w:rsidRDefault="00410B1E">
      <w:pPr>
        <w:ind w:left="-5"/>
      </w:pPr>
      <w:r>
        <w:t>RAN2 and RAN3 have received an LS from SA5 requesting guidance for HO terminology [1]. RAN2 has addressed their specification and responded i</w:t>
      </w:r>
      <w:r>
        <w:t>n [2].</w:t>
      </w:r>
    </w:p>
    <w:p w14:paraId="5B274771" w14:textId="77777777" w:rsidR="00046646" w:rsidRDefault="00410B1E">
      <w:pPr>
        <w:pStyle w:val="Heading2"/>
        <w:ind w:left="1119" w:hanging="1134"/>
      </w:pPr>
      <w:r>
        <w:t>Possible clarification in specifications</w:t>
      </w:r>
    </w:p>
    <w:p w14:paraId="0CECA461" w14:textId="77777777" w:rsidR="00046646" w:rsidRDefault="00410B1E">
      <w:pPr>
        <w:ind w:left="-5"/>
      </w:pPr>
      <w:r>
        <w:t xml:space="preserve">In the discussion paper [4] and draft response </w:t>
      </w:r>
      <w:proofErr w:type="spellStart"/>
      <w:r>
        <w:t>LSes</w:t>
      </w:r>
      <w:proofErr w:type="spellEnd"/>
      <w:r>
        <w:t xml:space="preserve"> [3,5] it is discussed that the way RAN3 specifications are formulated is clear: the term “handover” is used when any type of a handover is used while “DAPS </w:t>
      </w:r>
      <w:r>
        <w:t>HO” and “CHO” are used when these specific types of a handover are described. In the latter case, occasionally, “immediate handover” is used to distinguish a classic handover from the CHO.</w:t>
      </w:r>
    </w:p>
    <w:p w14:paraId="6D6AC70C" w14:textId="77777777" w:rsidR="00046646" w:rsidRDefault="00410B1E">
      <w:pPr>
        <w:spacing w:after="277"/>
        <w:ind w:left="-5"/>
        <w:jc w:val="both"/>
      </w:pPr>
      <w:r>
        <w:rPr>
          <w:b/>
        </w:rPr>
        <w:t>Question 1-1: Do companies agree that in RAN3-managed specification</w:t>
      </w:r>
      <w:r>
        <w:rPr>
          <w:b/>
        </w:rPr>
        <w:t xml:space="preserve"> the HO terminology is correct and does not require further changes?</w:t>
      </w:r>
    </w:p>
    <w:p w14:paraId="3462FED6" w14:textId="77777777" w:rsidR="00046646" w:rsidRDefault="00410B1E">
      <w:pPr>
        <w:spacing w:after="3"/>
        <w:ind w:left="1949" w:right="1916"/>
        <w:jc w:val="both"/>
      </w:pPr>
      <w:r>
        <w:rPr>
          <w:b/>
        </w:rPr>
        <w:t>Feedback Form 1: Do companies agree that in RAN3-managed specification the HO terminology is correct and does not require further changes?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046646" w14:paraId="201C3865"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54D72BBC" w14:textId="77777777" w:rsidR="00046646" w:rsidRDefault="00410B1E">
            <w:pPr>
              <w:spacing w:after="153" w:line="259" w:lineRule="auto"/>
              <w:ind w:left="0" w:firstLine="0"/>
            </w:pPr>
            <w:r>
              <w:rPr>
                <w:b/>
              </w:rPr>
              <w:t>1 – Nokia Poland</w:t>
            </w:r>
          </w:p>
          <w:p w14:paraId="5DB5BCE3" w14:textId="77777777" w:rsidR="00046646" w:rsidRDefault="00410B1E">
            <w:pPr>
              <w:spacing w:after="0" w:line="259" w:lineRule="auto"/>
              <w:ind w:left="109" w:firstLine="60"/>
              <w:jc w:val="both"/>
            </w:pPr>
            <w:r>
              <w:t>[Nokia] Yes, RAN3 specification</w:t>
            </w:r>
            <w:r>
              <w:t>s were cleaned at the end of the WI in Rel.16. Currently, the use of the handover terminology is consistent.</w:t>
            </w:r>
          </w:p>
        </w:tc>
      </w:tr>
      <w:tr w:rsidR="00046646" w14:paraId="3A01F71B" w14:textId="77777777">
        <w:trPr>
          <w:trHeight w:val="2719"/>
        </w:trPr>
        <w:tc>
          <w:tcPr>
            <w:tcW w:w="9614" w:type="dxa"/>
            <w:tcBorders>
              <w:top w:val="single" w:sz="3" w:space="0" w:color="000000"/>
              <w:left w:val="single" w:sz="10" w:space="0" w:color="000000"/>
              <w:bottom w:val="single" w:sz="3" w:space="0" w:color="000000"/>
              <w:right w:val="single" w:sz="10" w:space="0" w:color="000000"/>
            </w:tcBorders>
            <w:vAlign w:val="center"/>
          </w:tcPr>
          <w:p w14:paraId="75AC2BB1" w14:textId="77777777" w:rsidR="00046646" w:rsidRDefault="00410B1E">
            <w:pPr>
              <w:spacing w:after="153" w:line="259" w:lineRule="auto"/>
              <w:ind w:left="0" w:firstLine="0"/>
            </w:pPr>
            <w:r>
              <w:rPr>
                <w:b/>
              </w:rPr>
              <w:t>2 – ZTE Corporation</w:t>
            </w:r>
          </w:p>
          <w:p w14:paraId="69151D8F" w14:textId="77777777" w:rsidR="00046646" w:rsidRDefault="00410B1E">
            <w:pPr>
              <w:spacing w:after="0" w:line="342" w:lineRule="auto"/>
              <w:ind w:left="109" w:right="4970" w:firstLine="55"/>
            </w:pPr>
            <w:r>
              <w:t xml:space="preserve">Yes. Agree with below </w:t>
            </w:r>
            <w:proofErr w:type="gramStart"/>
            <w:r>
              <w:t>understanding:</w:t>
            </w:r>
            <w:proofErr w:type="gramEnd"/>
            <w:r>
              <w:t xml:space="preserve"> following terminology: </w:t>
            </w:r>
          </w:p>
          <w:p w14:paraId="6A1BE551" w14:textId="77777777" w:rsidR="00046646" w:rsidRDefault="00410B1E">
            <w:pPr>
              <w:numPr>
                <w:ilvl w:val="0"/>
                <w:numId w:val="4"/>
              </w:numPr>
              <w:spacing w:after="90" w:line="257" w:lineRule="auto"/>
              <w:ind w:firstLine="0"/>
            </w:pPr>
            <w:r>
              <w:t xml:space="preserve">For </w:t>
            </w:r>
            <w:proofErr w:type="gramStart"/>
            <w:r>
              <w:t>backward-compatibility</w:t>
            </w:r>
            <w:proofErr w:type="gramEnd"/>
            <w:r>
              <w:t xml:space="preserve">, “handover” is used for the classic Rel.15 HO type, or where HO type is </w:t>
            </w:r>
            <w:proofErr w:type="spellStart"/>
            <w:r>
              <w:t>notrelevant</w:t>
            </w:r>
            <w:proofErr w:type="spellEnd"/>
            <w:r>
              <w:t>;</w:t>
            </w:r>
          </w:p>
          <w:p w14:paraId="4B39439E" w14:textId="77777777" w:rsidR="00046646" w:rsidRDefault="00410B1E">
            <w:pPr>
              <w:numPr>
                <w:ilvl w:val="0"/>
                <w:numId w:val="4"/>
              </w:numPr>
              <w:spacing w:after="88" w:line="259" w:lineRule="auto"/>
              <w:ind w:firstLine="0"/>
            </w:pPr>
            <w:r>
              <w:t xml:space="preserve">“CHO” or “DAPS HO” is used where these </w:t>
            </w:r>
            <w:proofErr w:type="gramStart"/>
            <w:r>
              <w:t>particular HO</w:t>
            </w:r>
            <w:proofErr w:type="gramEnd"/>
            <w:r>
              <w:t xml:space="preserve"> types are referred.</w:t>
            </w:r>
          </w:p>
          <w:p w14:paraId="6EE3F384" w14:textId="77777777" w:rsidR="00046646" w:rsidRDefault="00410B1E">
            <w:pPr>
              <w:spacing w:after="0" w:line="259" w:lineRule="auto"/>
              <w:ind w:left="109" w:firstLine="0"/>
            </w:pPr>
            <w:r>
              <w:t>Probably we can do more RAN3 specs checking before next meeting.</w:t>
            </w:r>
          </w:p>
        </w:tc>
      </w:tr>
      <w:tr w:rsidR="00046646" w14:paraId="2BE30A3A" w14:textId="77777777">
        <w:trPr>
          <w:trHeight w:val="2631"/>
        </w:trPr>
        <w:tc>
          <w:tcPr>
            <w:tcW w:w="9614" w:type="dxa"/>
            <w:tcBorders>
              <w:top w:val="single" w:sz="3" w:space="0" w:color="000000"/>
              <w:left w:val="single" w:sz="10" w:space="0" w:color="000000"/>
              <w:bottom w:val="single" w:sz="3" w:space="0" w:color="000000"/>
              <w:right w:val="single" w:sz="10" w:space="0" w:color="000000"/>
            </w:tcBorders>
            <w:vAlign w:val="center"/>
          </w:tcPr>
          <w:p w14:paraId="78718CDD" w14:textId="77777777" w:rsidR="00046646" w:rsidRDefault="00410B1E">
            <w:pPr>
              <w:spacing w:after="153" w:line="259" w:lineRule="auto"/>
              <w:ind w:left="0" w:firstLine="0"/>
            </w:pPr>
            <w:r>
              <w:rPr>
                <w:b/>
              </w:rPr>
              <w:t>3 – Ericsson-LG Co.</w:t>
            </w:r>
          </w:p>
          <w:p w14:paraId="3735F41F" w14:textId="77777777" w:rsidR="00046646" w:rsidRDefault="00410B1E">
            <w:pPr>
              <w:spacing w:after="0" w:line="259" w:lineRule="auto"/>
              <w:ind w:left="109" w:firstLine="51"/>
              <w:jc w:val="both"/>
            </w:pPr>
            <w:r>
              <w:t>The specifications in question are shared between RAN3 and RAN2. From RAN3 point of view the specifications are clear, with the understanding that such ”clearness2 comes from the fact that the specification of HO procedures is within th</w:t>
            </w:r>
            <w:r>
              <w:t>e remit of RAN3 work, i.e. RAN3 is well aware of how to interpret the terminology used for HO procedures and functions. The question to ask is whether such clear understanding can be achieved by a different group like SA5, which has no understanding of how</w:t>
            </w:r>
            <w:r>
              <w:t xml:space="preserve"> to interpret the terminology in use and that needs to use RAN2/RAN3 specifications to understand how to define, e.g. HO KPIs. The answer to this question is no, in our opinion and clarifications to the specifications are needed.</w:t>
            </w:r>
          </w:p>
        </w:tc>
      </w:tr>
      <w:tr w:rsidR="00046646" w14:paraId="1F8C1E6C"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400C190E" w14:textId="77777777" w:rsidR="00046646" w:rsidRDefault="00410B1E">
            <w:pPr>
              <w:spacing w:after="153" w:line="259" w:lineRule="auto"/>
              <w:ind w:left="0" w:firstLine="0"/>
            </w:pPr>
            <w:r>
              <w:rPr>
                <w:b/>
              </w:rPr>
              <w:t xml:space="preserve">4 – </w:t>
            </w:r>
            <w:proofErr w:type="spellStart"/>
            <w:r>
              <w:rPr>
                <w:b/>
              </w:rPr>
              <w:t>HuaWei</w:t>
            </w:r>
            <w:proofErr w:type="spellEnd"/>
            <w:r>
              <w:rPr>
                <w:b/>
              </w:rPr>
              <w:t xml:space="preserve"> Technologies C</w:t>
            </w:r>
            <w:r>
              <w:rPr>
                <w:b/>
              </w:rPr>
              <w:t>o.</w:t>
            </w:r>
          </w:p>
          <w:p w14:paraId="2B29FA97" w14:textId="77777777" w:rsidR="00046646" w:rsidRDefault="00410B1E">
            <w:pPr>
              <w:spacing w:after="90" w:line="257" w:lineRule="auto"/>
              <w:ind w:left="109" w:firstLine="54"/>
              <w:jc w:val="both"/>
            </w:pPr>
            <w:r>
              <w:t xml:space="preserve">Yes, agree. When we introduce new functions on top of existing ones, the existing terms for that function shall keep no change. Following this principle, the term handover </w:t>
            </w:r>
            <w:proofErr w:type="gramStart"/>
            <w:r>
              <w:t>still keeps</w:t>
            </w:r>
            <w:proofErr w:type="gramEnd"/>
            <w:r>
              <w:t xml:space="preserve"> its original meaning of rel-15 in rel-16 and afterwards.</w:t>
            </w:r>
          </w:p>
          <w:p w14:paraId="047F37CB" w14:textId="77777777" w:rsidR="00046646" w:rsidRDefault="00410B1E">
            <w:pPr>
              <w:spacing w:after="0" w:line="259" w:lineRule="auto"/>
              <w:ind w:left="109" w:firstLine="0"/>
            </w:pPr>
            <w:r>
              <w:t xml:space="preserve">There is </w:t>
            </w:r>
            <w:proofErr w:type="gramStart"/>
            <w:r>
              <w:t>no</w:t>
            </w:r>
            <w:proofErr w:type="gramEnd"/>
            <w:r>
              <w:t xml:space="preserve"> any</w:t>
            </w:r>
            <w:r>
              <w:t xml:space="preserve"> further modifications to our spec needed</w:t>
            </w:r>
          </w:p>
        </w:tc>
      </w:tr>
      <w:tr w:rsidR="00046646" w14:paraId="6A12D211"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D77C723" w14:textId="77777777" w:rsidR="00046646" w:rsidRDefault="00410B1E">
            <w:pPr>
              <w:spacing w:after="153" w:line="259" w:lineRule="auto"/>
              <w:ind w:left="0" w:firstLine="0"/>
            </w:pPr>
            <w:r>
              <w:rPr>
                <w:b/>
              </w:rPr>
              <w:lastRenderedPageBreak/>
              <w:t>5 – Samsung R&amp;D Institute UK</w:t>
            </w:r>
          </w:p>
          <w:p w14:paraId="571F6281" w14:textId="77777777" w:rsidR="00046646" w:rsidRDefault="00410B1E">
            <w:pPr>
              <w:spacing w:after="0" w:line="259" w:lineRule="auto"/>
              <w:ind w:left="164" w:firstLine="0"/>
            </w:pPr>
            <w:r>
              <w:t>Agree with Huawei</w:t>
            </w:r>
          </w:p>
        </w:tc>
      </w:tr>
    </w:tbl>
    <w:p w14:paraId="6F11C2E5" w14:textId="77777777" w:rsidR="00046646" w:rsidRDefault="00410B1E">
      <w:pPr>
        <w:spacing w:after="20"/>
        <w:ind w:left="-5"/>
      </w:pPr>
      <w:r>
        <w:t>In [6], it is discussed that since DAPS HO and CHO are defined in the TS 38.300, also a definition for the</w:t>
      </w:r>
    </w:p>
    <w:p w14:paraId="176EBA8A" w14:textId="77777777" w:rsidR="00046646" w:rsidRDefault="00410B1E">
      <w:pPr>
        <w:spacing w:after="283" w:line="257" w:lineRule="auto"/>
        <w:ind w:left="0" w:firstLine="0"/>
        <w:jc w:val="both"/>
      </w:pPr>
      <w:r>
        <w:t xml:space="preserve">“basic handover” shall be added there. The “basic handover” would then correspond to </w:t>
      </w:r>
      <w:r>
        <w:rPr>
          <w:i/>
        </w:rPr>
        <w:t xml:space="preserve">a handover procedure </w:t>
      </w:r>
      <w:r>
        <w:rPr>
          <w:i/>
        </w:rPr>
        <w:t>where a single handover target is configured and where the source RAN connection is released after reception of RRC message for handover and before successful random access to the target gNB (see description in section 9.2.3.1 under cell level mobility, ex</w:t>
      </w:r>
      <w:r>
        <w:rPr>
          <w:i/>
        </w:rPr>
        <w:t>cluding DAPS details)</w:t>
      </w:r>
      <w:r>
        <w:t>.</w:t>
      </w:r>
    </w:p>
    <w:p w14:paraId="0DF6F09D" w14:textId="77777777" w:rsidR="00046646" w:rsidRDefault="00410B1E">
      <w:pPr>
        <w:spacing w:after="277"/>
        <w:ind w:left="-5"/>
        <w:jc w:val="both"/>
      </w:pPr>
      <w:r>
        <w:rPr>
          <w:b/>
        </w:rPr>
        <w:t>Question 1-2: Do companies see a need to add a stage-2 definition of a “basic handover”?</w:t>
      </w:r>
    </w:p>
    <w:p w14:paraId="55797E84" w14:textId="77777777" w:rsidR="00046646" w:rsidRDefault="00410B1E">
      <w:pPr>
        <w:spacing w:after="3"/>
        <w:ind w:left="1949" w:right="1019"/>
        <w:jc w:val="both"/>
      </w:pPr>
      <w:r>
        <w:rPr>
          <w:b/>
        </w:rPr>
        <w:t>Feedback Form 2: Do companies see a need to add a stage-2 definition of a “basic handover”?</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046646" w14:paraId="05EF982C" w14:textId="77777777">
        <w:trPr>
          <w:trHeight w:val="2184"/>
        </w:trPr>
        <w:tc>
          <w:tcPr>
            <w:tcW w:w="9614" w:type="dxa"/>
            <w:tcBorders>
              <w:top w:val="single" w:sz="10" w:space="0" w:color="000000"/>
              <w:left w:val="single" w:sz="10" w:space="0" w:color="000000"/>
              <w:bottom w:val="single" w:sz="3" w:space="0" w:color="000000"/>
              <w:right w:val="single" w:sz="10" w:space="0" w:color="000000"/>
            </w:tcBorders>
            <w:vAlign w:val="center"/>
          </w:tcPr>
          <w:p w14:paraId="30F772BC" w14:textId="77777777" w:rsidR="00046646" w:rsidRDefault="00410B1E">
            <w:pPr>
              <w:spacing w:after="153" w:line="259" w:lineRule="auto"/>
              <w:ind w:left="0" w:firstLine="0"/>
            </w:pPr>
            <w:r>
              <w:rPr>
                <w:b/>
              </w:rPr>
              <w:t>1 – Nokia Poland</w:t>
            </w:r>
          </w:p>
          <w:p w14:paraId="1FF9558A" w14:textId="77777777" w:rsidR="00046646" w:rsidRDefault="00410B1E">
            <w:pPr>
              <w:spacing w:after="88" w:line="259" w:lineRule="auto"/>
              <w:ind w:left="164" w:firstLine="0"/>
            </w:pPr>
            <w:r>
              <w:t>[Nokia] Such definition is not need</w:t>
            </w:r>
            <w:r>
              <w:t>ed.</w:t>
            </w:r>
          </w:p>
          <w:p w14:paraId="3B534E4C" w14:textId="77777777" w:rsidR="00046646" w:rsidRDefault="00410B1E">
            <w:pPr>
              <w:spacing w:after="0" w:line="259" w:lineRule="auto"/>
              <w:ind w:left="109" w:firstLine="0"/>
              <w:jc w:val="both"/>
            </w:pPr>
            <w:r>
              <w:t>The TS 38.300 is a RAN2-managed specification and RAN2 has already reviewed and cleaned their part (see the LS in [2]). Also, the proposed definition could trigger further disturbance, as it differs from the ”immediate handover” used in stage-3 and possibl</w:t>
            </w:r>
            <w:r>
              <w:t>y narrows down the functionality of a classic handover (multiple preparation may well be used also in a classic handover).</w:t>
            </w:r>
          </w:p>
        </w:tc>
      </w:tr>
      <w:tr w:rsidR="00046646" w14:paraId="5A9DB19F"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53AD8C4D" w14:textId="77777777" w:rsidR="00046646" w:rsidRDefault="00410B1E">
            <w:pPr>
              <w:spacing w:after="153" w:line="259" w:lineRule="auto"/>
              <w:ind w:left="0" w:firstLine="0"/>
            </w:pPr>
            <w:r>
              <w:rPr>
                <w:b/>
              </w:rPr>
              <w:t>2 – ZTE Corporation</w:t>
            </w:r>
          </w:p>
          <w:p w14:paraId="43EC4847" w14:textId="77777777" w:rsidR="00046646" w:rsidRDefault="00410B1E">
            <w:pPr>
              <w:spacing w:after="0" w:line="259" w:lineRule="auto"/>
              <w:ind w:left="164" w:firstLine="0"/>
            </w:pPr>
            <w:r>
              <w:t>Such definition is not needed.</w:t>
            </w:r>
          </w:p>
        </w:tc>
      </w:tr>
      <w:tr w:rsidR="00046646" w14:paraId="627630DD" w14:textId="77777777">
        <w:trPr>
          <w:trHeight w:val="3173"/>
        </w:trPr>
        <w:tc>
          <w:tcPr>
            <w:tcW w:w="9614" w:type="dxa"/>
            <w:tcBorders>
              <w:top w:val="single" w:sz="3" w:space="0" w:color="000000"/>
              <w:left w:val="single" w:sz="10" w:space="0" w:color="000000"/>
              <w:bottom w:val="single" w:sz="3" w:space="0" w:color="000000"/>
              <w:right w:val="single" w:sz="10" w:space="0" w:color="000000"/>
            </w:tcBorders>
            <w:vAlign w:val="center"/>
          </w:tcPr>
          <w:p w14:paraId="6EB3F4D4" w14:textId="77777777" w:rsidR="00046646" w:rsidRDefault="00410B1E">
            <w:pPr>
              <w:spacing w:after="153" w:line="259" w:lineRule="auto"/>
              <w:ind w:left="0" w:firstLine="0"/>
            </w:pPr>
            <w:r>
              <w:rPr>
                <w:b/>
              </w:rPr>
              <w:t>3 – Ericsson-LG Co.</w:t>
            </w:r>
          </w:p>
          <w:p w14:paraId="08C46194" w14:textId="77777777" w:rsidR="00046646" w:rsidRDefault="00410B1E">
            <w:pPr>
              <w:spacing w:after="0" w:line="257" w:lineRule="auto"/>
              <w:ind w:left="109" w:firstLine="65"/>
              <w:jc w:val="both"/>
            </w:pPr>
            <w:r>
              <w:t xml:space="preserve">RAN3 contributes to the drafting of TS38.300, just like RAN2. In the LS in [8] we propose to take the </w:t>
            </w:r>
            <w:proofErr w:type="spellStart"/>
            <w:proofErr w:type="gramStart"/>
            <w:r>
              <w:t>definitionfor”BasicHandover</w:t>
            </w:r>
            <w:proofErr w:type="gramEnd"/>
            <w:r>
              <w:t>”asastartingpoint</w:t>
            </w:r>
            <w:proofErr w:type="spellEnd"/>
            <w:r>
              <w:t xml:space="preserve">, andtomodifyitasseenfeasiblebyRAN2. </w:t>
            </w:r>
            <w:proofErr w:type="spellStart"/>
            <w:r>
              <w:t>Ourintention</w:t>
            </w:r>
            <w:proofErr w:type="spellEnd"/>
            <w:r>
              <w:t xml:space="preserve"> is not that agreeing exactly to the definition of Basic Hand</w:t>
            </w:r>
            <w:r>
              <w:t xml:space="preserve">over proposed, but to work on a definition for legacy handover that can help external group to understand how RAN3 classified different functionalities, so to prevent similar questions in the future as those asked in [1]. We are open to a discussion about </w:t>
            </w:r>
            <w:r>
              <w:t>how the definition can be written, but we see the need of a definition for legacy handovers.</w:t>
            </w:r>
          </w:p>
          <w:p w14:paraId="70E02847" w14:textId="77777777" w:rsidR="00046646" w:rsidRDefault="00410B1E">
            <w:pPr>
              <w:spacing w:after="0" w:line="259" w:lineRule="auto"/>
              <w:ind w:left="109" w:firstLine="0"/>
              <w:jc w:val="both"/>
            </w:pPr>
            <w:r>
              <w:t>Note that in absence of a definition for legacy handovers SA5 may decide to agree to such definition in SA5 specifications. This would create a split in definition</w:t>
            </w:r>
            <w:r>
              <w:t xml:space="preserve">s that may diverge in the future. For this we think it is best </w:t>
            </w:r>
            <w:proofErr w:type="gramStart"/>
            <w:r>
              <w:t>to ”keep</w:t>
            </w:r>
            <w:proofErr w:type="gramEnd"/>
            <w:r>
              <w:t xml:space="preserve"> all definitions in one basket” and to let such definitions to be managed by RAN groups.</w:t>
            </w:r>
          </w:p>
        </w:tc>
      </w:tr>
      <w:tr w:rsidR="00046646" w14:paraId="24BE419C"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6B3D7EE6" w14:textId="77777777" w:rsidR="00046646" w:rsidRDefault="00410B1E">
            <w:pPr>
              <w:spacing w:after="153" w:line="259" w:lineRule="auto"/>
              <w:ind w:left="0" w:firstLine="0"/>
            </w:pPr>
            <w:r>
              <w:rPr>
                <w:b/>
              </w:rPr>
              <w:t xml:space="preserve">4 – </w:t>
            </w:r>
            <w:proofErr w:type="spellStart"/>
            <w:r>
              <w:rPr>
                <w:b/>
              </w:rPr>
              <w:t>HuaWei</w:t>
            </w:r>
            <w:proofErr w:type="spellEnd"/>
            <w:r>
              <w:rPr>
                <w:b/>
              </w:rPr>
              <w:t xml:space="preserve"> Technologies Co.</w:t>
            </w:r>
          </w:p>
          <w:p w14:paraId="313A3DFC" w14:textId="77777777" w:rsidR="00046646" w:rsidRDefault="00410B1E">
            <w:pPr>
              <w:spacing w:after="88" w:line="259" w:lineRule="auto"/>
              <w:ind w:left="164" w:firstLine="0"/>
            </w:pPr>
            <w:r>
              <w:t>Such definition is not needed.</w:t>
            </w:r>
          </w:p>
          <w:p w14:paraId="2268ACEA" w14:textId="77777777" w:rsidR="00046646" w:rsidRDefault="00410B1E">
            <w:pPr>
              <w:spacing w:after="0" w:line="259" w:lineRule="auto"/>
              <w:ind w:left="109" w:firstLine="0"/>
            </w:pPr>
            <w:r>
              <w:t>the meaning of handover is quite cle</w:t>
            </w:r>
            <w:r>
              <w:t>ar.</w:t>
            </w:r>
          </w:p>
        </w:tc>
      </w:tr>
      <w:tr w:rsidR="00046646" w14:paraId="57F21110"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31E7C4C8" w14:textId="77777777" w:rsidR="00046646" w:rsidRDefault="00410B1E">
            <w:pPr>
              <w:spacing w:after="153" w:line="259" w:lineRule="auto"/>
              <w:ind w:left="0" w:firstLine="0"/>
            </w:pPr>
            <w:r>
              <w:rPr>
                <w:b/>
              </w:rPr>
              <w:t>5 – Samsung R&amp;D Institute UK</w:t>
            </w:r>
          </w:p>
          <w:p w14:paraId="2374EE98" w14:textId="77777777" w:rsidR="00046646" w:rsidRDefault="00410B1E">
            <w:pPr>
              <w:spacing w:after="0" w:line="259" w:lineRule="auto"/>
              <w:ind w:left="164" w:firstLine="0"/>
            </w:pPr>
            <w:r>
              <w:t>Such definition is not needed.</w:t>
            </w:r>
          </w:p>
        </w:tc>
      </w:tr>
    </w:tbl>
    <w:p w14:paraId="7C857677" w14:textId="77777777" w:rsidR="00046646" w:rsidRDefault="00410B1E">
      <w:pPr>
        <w:pStyle w:val="Heading2"/>
        <w:ind w:left="1119" w:hanging="1134"/>
      </w:pPr>
      <w:r>
        <w:t>New handover types</w:t>
      </w:r>
    </w:p>
    <w:p w14:paraId="271EA366" w14:textId="77777777" w:rsidR="00046646" w:rsidRDefault="00410B1E">
      <w:pPr>
        <w:ind w:left="-5"/>
      </w:pPr>
      <w:r>
        <w:t>The LS from SA5 asks about naming future types of a handover. In a draft response in [3], it is proposed to provide response that names for possible future types will be defined when those types are introduced. In [4], it is proposed that SA5 may introduce</w:t>
      </w:r>
      <w:r>
        <w:t xml:space="preserve"> names as needed for the purpose of KPIs.</w:t>
      </w:r>
    </w:p>
    <w:p w14:paraId="5D6F56BF" w14:textId="77777777" w:rsidR="00046646" w:rsidRDefault="00410B1E">
      <w:pPr>
        <w:spacing w:after="3"/>
        <w:ind w:left="-5"/>
        <w:jc w:val="both"/>
      </w:pPr>
      <w:r>
        <w:rPr>
          <w:b/>
        </w:rPr>
        <w:lastRenderedPageBreak/>
        <w:t>Question 3-1: Do companies agree that at this moment, RAN3 can’t provide further guidance concerning the naming of future handover types?</w:t>
      </w:r>
    </w:p>
    <w:p w14:paraId="135FBD4C" w14:textId="77777777" w:rsidR="00046646" w:rsidRDefault="00410B1E">
      <w:pPr>
        <w:spacing w:after="3"/>
        <w:ind w:left="1949" w:right="1916"/>
        <w:jc w:val="both"/>
      </w:pPr>
      <w:r>
        <w:rPr>
          <w:b/>
        </w:rPr>
        <w:t xml:space="preserve">Feedback Form 3: Do companies agree that at this moment, RAN3 can’t provide further guidance concerning the naming of </w:t>
      </w:r>
      <w:r>
        <w:rPr>
          <w:b/>
        </w:rPr>
        <w:t>future handover types?</w:t>
      </w:r>
    </w:p>
    <w:tbl>
      <w:tblPr>
        <w:tblStyle w:val="TableGrid"/>
        <w:tblW w:w="9614" w:type="dxa"/>
        <w:tblInd w:w="12" w:type="dxa"/>
        <w:tblCellMar>
          <w:top w:w="0" w:type="dxa"/>
          <w:left w:w="142" w:type="dxa"/>
          <w:bottom w:w="0" w:type="dxa"/>
          <w:right w:w="131" w:type="dxa"/>
        </w:tblCellMar>
        <w:tblLook w:val="04A0" w:firstRow="1" w:lastRow="0" w:firstColumn="1" w:lastColumn="0" w:noHBand="0" w:noVBand="1"/>
      </w:tblPr>
      <w:tblGrid>
        <w:gridCol w:w="9614"/>
      </w:tblGrid>
      <w:tr w:rsidR="00046646" w14:paraId="46248028"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5AEDD344" w14:textId="77777777" w:rsidR="00046646" w:rsidRDefault="00410B1E">
            <w:pPr>
              <w:spacing w:after="153" w:line="259" w:lineRule="auto"/>
              <w:ind w:left="0" w:firstLine="0"/>
            </w:pPr>
            <w:r>
              <w:rPr>
                <w:b/>
              </w:rPr>
              <w:t>1 – Nokia Poland</w:t>
            </w:r>
          </w:p>
          <w:p w14:paraId="70CEBC8E" w14:textId="77777777" w:rsidR="00046646" w:rsidRDefault="00410B1E">
            <w:pPr>
              <w:spacing w:after="0" w:line="259" w:lineRule="auto"/>
              <w:ind w:left="109" w:firstLine="51"/>
              <w:jc w:val="both"/>
            </w:pPr>
            <w:r>
              <w:t>[Nokia] Yes, we shall consider those new types only when they are defined. KPIs are up to SA5 – but that means RAN3 shall not provide any guidance concerning their naming.</w:t>
            </w:r>
          </w:p>
        </w:tc>
      </w:tr>
      <w:tr w:rsidR="00046646" w14:paraId="1E04435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1556004" w14:textId="77777777" w:rsidR="00046646" w:rsidRDefault="00410B1E">
            <w:pPr>
              <w:spacing w:after="153" w:line="259" w:lineRule="auto"/>
              <w:ind w:left="0" w:firstLine="0"/>
            </w:pPr>
            <w:r>
              <w:rPr>
                <w:b/>
              </w:rPr>
              <w:t>2 – ZTE Corporation</w:t>
            </w:r>
          </w:p>
          <w:p w14:paraId="435138FE" w14:textId="77777777" w:rsidR="00046646" w:rsidRDefault="00410B1E">
            <w:pPr>
              <w:spacing w:after="0" w:line="259" w:lineRule="auto"/>
              <w:ind w:left="164" w:firstLine="0"/>
            </w:pPr>
            <w:r>
              <w:t>Yes. In general, each n</w:t>
            </w:r>
            <w:r>
              <w:t>ew function will have its own name.</w:t>
            </w:r>
          </w:p>
        </w:tc>
      </w:tr>
      <w:tr w:rsidR="00046646" w14:paraId="36AA7AAF"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24972D9B" w14:textId="77777777" w:rsidR="00046646" w:rsidRDefault="00410B1E">
            <w:pPr>
              <w:spacing w:after="153" w:line="259" w:lineRule="auto"/>
              <w:ind w:left="0" w:firstLine="0"/>
            </w:pPr>
            <w:r>
              <w:rPr>
                <w:b/>
              </w:rPr>
              <w:t>3 – Ericsson-LG Co.</w:t>
            </w:r>
          </w:p>
          <w:p w14:paraId="56BD491B" w14:textId="77777777" w:rsidR="00046646" w:rsidRDefault="00410B1E">
            <w:pPr>
              <w:spacing w:after="0" w:line="259" w:lineRule="auto"/>
              <w:ind w:left="109" w:firstLine="70"/>
              <w:jc w:val="both"/>
            </w:pPr>
            <w:r>
              <w:t>Agree, definition of new types of HO will only be needed when such functions will become available. Nothing to add right now.</w:t>
            </w:r>
          </w:p>
        </w:tc>
      </w:tr>
      <w:tr w:rsidR="00046646" w14:paraId="7B700C3B" w14:textId="77777777">
        <w:trPr>
          <w:trHeight w:val="949"/>
        </w:trPr>
        <w:tc>
          <w:tcPr>
            <w:tcW w:w="9614" w:type="dxa"/>
            <w:tcBorders>
              <w:top w:val="single" w:sz="3" w:space="0" w:color="000000"/>
              <w:left w:val="single" w:sz="10" w:space="0" w:color="000000"/>
              <w:bottom w:val="single" w:sz="10" w:space="0" w:color="000000"/>
              <w:right w:val="single" w:sz="10" w:space="0" w:color="000000"/>
            </w:tcBorders>
            <w:vAlign w:val="center"/>
          </w:tcPr>
          <w:p w14:paraId="4531584D" w14:textId="77777777" w:rsidR="00046646" w:rsidRDefault="00410B1E">
            <w:pPr>
              <w:spacing w:after="153" w:line="259" w:lineRule="auto"/>
              <w:ind w:left="0" w:firstLine="0"/>
            </w:pPr>
            <w:r>
              <w:rPr>
                <w:b/>
              </w:rPr>
              <w:t>4 – Samsung R&amp;D Institute UK</w:t>
            </w:r>
          </w:p>
          <w:p w14:paraId="11155BD1" w14:textId="77777777" w:rsidR="00046646" w:rsidRDefault="00410B1E">
            <w:pPr>
              <w:spacing w:after="0" w:line="259" w:lineRule="auto"/>
              <w:ind w:left="164" w:firstLine="0"/>
            </w:pPr>
            <w:r>
              <w:t>Yes</w:t>
            </w:r>
          </w:p>
        </w:tc>
      </w:tr>
    </w:tbl>
    <w:p w14:paraId="14923330" w14:textId="77777777" w:rsidR="00046646" w:rsidRDefault="00410B1E">
      <w:pPr>
        <w:pStyle w:val="Heading2"/>
        <w:ind w:left="1119" w:hanging="1134"/>
      </w:pPr>
      <w:r>
        <w:t>Formulation of the response (if needed)</w:t>
      </w:r>
    </w:p>
    <w:p w14:paraId="47C286BD" w14:textId="77777777" w:rsidR="00046646" w:rsidRDefault="00410B1E">
      <w:pPr>
        <w:ind w:left="-5"/>
      </w:pPr>
      <w:r>
        <w:t>All companies contributing to the meeting proposed a response LS to SA5 and RAN2. However, in the meantime, RAN2 has already responded to SA5 [2].</w:t>
      </w:r>
    </w:p>
    <w:p w14:paraId="0CB7D362" w14:textId="77777777" w:rsidR="00046646" w:rsidRDefault="00410B1E">
      <w:pPr>
        <w:spacing w:after="277"/>
        <w:ind w:left="-5"/>
        <w:jc w:val="both"/>
      </w:pPr>
      <w:r>
        <w:rPr>
          <w:b/>
        </w:rPr>
        <w:t>Question 3-1: Do companies see the need to respond to SA5 and RAN2, even if no changes are found needed in sp</w:t>
      </w:r>
      <w:r>
        <w:rPr>
          <w:b/>
        </w:rPr>
        <w:t>ecifications?</w:t>
      </w:r>
    </w:p>
    <w:p w14:paraId="03351E76" w14:textId="77777777" w:rsidR="00046646" w:rsidRDefault="00410B1E">
      <w:pPr>
        <w:spacing w:after="3"/>
        <w:ind w:left="1949" w:right="1916"/>
        <w:jc w:val="both"/>
      </w:pPr>
      <w:r>
        <w:rPr>
          <w:b/>
        </w:rPr>
        <w:t>Feedback Form 4: Do companies see the need to respond to SA5 and RAN2, even if no changes are found needed in specifications?</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046646" w14:paraId="15A75C26"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27DE4FC3" w14:textId="77777777" w:rsidR="00046646" w:rsidRDefault="00410B1E">
            <w:pPr>
              <w:spacing w:after="153" w:line="259" w:lineRule="auto"/>
              <w:ind w:left="0" w:firstLine="0"/>
            </w:pPr>
            <w:r>
              <w:rPr>
                <w:b/>
              </w:rPr>
              <w:t>1 – Nokia Poland</w:t>
            </w:r>
          </w:p>
          <w:p w14:paraId="16A6BCD8" w14:textId="77777777" w:rsidR="00046646" w:rsidRDefault="00410B1E">
            <w:pPr>
              <w:spacing w:after="0" w:line="259" w:lineRule="auto"/>
              <w:ind w:left="109" w:firstLine="54"/>
            </w:pPr>
            <w:r>
              <w:t>[Nokia] Yes, a response would be desirable. SA5 has asked us questions and we shall address them, e</w:t>
            </w:r>
            <w:r>
              <w:t>ven if RAN2 has responded first.</w:t>
            </w:r>
          </w:p>
        </w:tc>
      </w:tr>
      <w:tr w:rsidR="00046646" w14:paraId="7B259C7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086E1B0" w14:textId="77777777" w:rsidR="00046646" w:rsidRDefault="00410B1E">
            <w:pPr>
              <w:spacing w:after="153" w:line="259" w:lineRule="auto"/>
              <w:ind w:left="0" w:firstLine="0"/>
            </w:pPr>
            <w:r>
              <w:rPr>
                <w:b/>
              </w:rPr>
              <w:t>2 – ZTE Corporation</w:t>
            </w:r>
          </w:p>
          <w:p w14:paraId="618D0C81" w14:textId="77777777" w:rsidR="00046646" w:rsidRDefault="00410B1E">
            <w:pPr>
              <w:spacing w:after="0" w:line="259" w:lineRule="auto"/>
              <w:ind w:left="164" w:firstLine="0"/>
            </w:pPr>
            <w:r>
              <w:t>Yes. A simple LS reply is helpful. we can start with R3-211507.</w:t>
            </w:r>
          </w:p>
        </w:tc>
      </w:tr>
      <w:tr w:rsidR="00046646" w14:paraId="624AB11E" w14:textId="77777777">
        <w:trPr>
          <w:trHeight w:val="2357"/>
        </w:trPr>
        <w:tc>
          <w:tcPr>
            <w:tcW w:w="9614" w:type="dxa"/>
            <w:tcBorders>
              <w:top w:val="single" w:sz="3" w:space="0" w:color="000000"/>
              <w:left w:val="single" w:sz="10" w:space="0" w:color="000000"/>
              <w:bottom w:val="nil"/>
              <w:right w:val="single" w:sz="10" w:space="0" w:color="000000"/>
            </w:tcBorders>
            <w:vAlign w:val="center"/>
          </w:tcPr>
          <w:p w14:paraId="6CF02E69" w14:textId="77777777" w:rsidR="00046646" w:rsidRDefault="00410B1E">
            <w:pPr>
              <w:spacing w:after="153" w:line="259" w:lineRule="auto"/>
              <w:ind w:left="0" w:firstLine="0"/>
            </w:pPr>
            <w:r>
              <w:rPr>
                <w:b/>
              </w:rPr>
              <w:t>3 – Ericsson-LG Co.</w:t>
            </w:r>
          </w:p>
          <w:p w14:paraId="5531605D" w14:textId="77777777" w:rsidR="00046646" w:rsidRDefault="00410B1E">
            <w:pPr>
              <w:spacing w:after="0" w:line="259" w:lineRule="auto"/>
              <w:ind w:left="109" w:firstLine="57"/>
              <w:jc w:val="both"/>
            </w:pPr>
            <w:r>
              <w:t xml:space="preserve">In our view, the LS from RAN2 in [2] does not address the issues raised by SA5. The LS in [2] points at corrections that eliminate some ambiguous terminology such </w:t>
            </w:r>
            <w:proofErr w:type="gramStart"/>
            <w:r>
              <w:t>as ”legacy</w:t>
            </w:r>
            <w:proofErr w:type="gramEnd"/>
            <w:r>
              <w:t xml:space="preserve"> handovers”. However, the corrections do not define what a legacy handover is. How </w:t>
            </w:r>
            <w:r>
              <w:t xml:space="preserve">can an external group understand </w:t>
            </w:r>
            <w:proofErr w:type="spellStart"/>
            <w:r>
              <w:t>tho</w:t>
            </w:r>
            <w:proofErr w:type="spellEnd"/>
            <w:r>
              <w:t xml:space="preserve"> what the </w:t>
            </w:r>
            <w:proofErr w:type="gramStart"/>
            <w:r>
              <w:t>term ”handover</w:t>
            </w:r>
            <w:proofErr w:type="gramEnd"/>
            <w:r>
              <w:t xml:space="preserve">” refers to? Wouldn’t it be beneficial to have a clear definition of that? We therefore see the need for an LS where we trigger a discussion on a possible definition </w:t>
            </w:r>
            <w:proofErr w:type="gramStart"/>
            <w:r>
              <w:t>of ”legacy</w:t>
            </w:r>
            <w:proofErr w:type="gramEnd"/>
            <w:r>
              <w:t xml:space="preserve"> handover”, for the </w:t>
            </w:r>
            <w:r>
              <w:t>sake of clarity also outside RAN groups.</w:t>
            </w:r>
          </w:p>
        </w:tc>
      </w:tr>
      <w:tr w:rsidR="00046646" w14:paraId="2ED6E00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679A3DD" w14:textId="77777777" w:rsidR="00046646" w:rsidRDefault="00410B1E">
            <w:pPr>
              <w:spacing w:after="153" w:line="259" w:lineRule="auto"/>
              <w:ind w:left="0" w:firstLine="0"/>
            </w:pPr>
            <w:r>
              <w:rPr>
                <w:b/>
              </w:rPr>
              <w:lastRenderedPageBreak/>
              <w:t xml:space="preserve">4 – </w:t>
            </w:r>
            <w:proofErr w:type="spellStart"/>
            <w:r>
              <w:rPr>
                <w:b/>
              </w:rPr>
              <w:t>HuaWei</w:t>
            </w:r>
            <w:proofErr w:type="spellEnd"/>
            <w:r>
              <w:rPr>
                <w:b/>
              </w:rPr>
              <w:t xml:space="preserve"> Technologies Co.</w:t>
            </w:r>
          </w:p>
          <w:p w14:paraId="63903890" w14:textId="77777777" w:rsidR="00046646" w:rsidRDefault="00410B1E">
            <w:pPr>
              <w:spacing w:after="0" w:line="259" w:lineRule="auto"/>
              <w:ind w:left="164" w:firstLine="0"/>
            </w:pPr>
            <w:r>
              <w:t>Yes, a simple LS is enough.</w:t>
            </w:r>
          </w:p>
        </w:tc>
      </w:tr>
      <w:tr w:rsidR="00046646" w14:paraId="232AA851"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045C4B3A" w14:textId="77777777" w:rsidR="00046646" w:rsidRDefault="00410B1E">
            <w:pPr>
              <w:spacing w:after="153" w:line="259" w:lineRule="auto"/>
              <w:ind w:left="0" w:firstLine="0"/>
            </w:pPr>
            <w:r>
              <w:rPr>
                <w:b/>
              </w:rPr>
              <w:t>5 – Samsung R&amp;D Institute UK</w:t>
            </w:r>
          </w:p>
          <w:p w14:paraId="63BEA0C6" w14:textId="77777777" w:rsidR="00046646" w:rsidRDefault="00410B1E">
            <w:pPr>
              <w:spacing w:after="0" w:line="259" w:lineRule="auto"/>
              <w:ind w:left="164" w:firstLine="0"/>
            </w:pPr>
            <w:r>
              <w:t>Simple LS is ok</w:t>
            </w:r>
          </w:p>
        </w:tc>
      </w:tr>
    </w:tbl>
    <w:p w14:paraId="368803D8" w14:textId="77777777" w:rsidR="00046646" w:rsidRDefault="00410B1E">
      <w:pPr>
        <w:spacing w:after="125" w:line="259" w:lineRule="auto"/>
        <w:ind w:left="0" w:right="-23" w:firstLine="0"/>
      </w:pPr>
      <w:r>
        <w:rPr>
          <w:rFonts w:ascii="Calibri" w:eastAsia="Calibri" w:hAnsi="Calibri" w:cs="Calibri"/>
          <w:noProof/>
        </w:rPr>
        <mc:AlternateContent>
          <mc:Choice Requires="wpg">
            <w:drawing>
              <wp:inline distT="0" distB="0" distL="0" distR="0" wp14:anchorId="417DD6A3" wp14:editId="13A012D8">
                <wp:extent cx="6120003" cy="12653"/>
                <wp:effectExtent l="0" t="0" r="0" b="0"/>
                <wp:docPr id="3323" name="Group 332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85" name="Shape 28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23" style="width:481.89pt;height:0.9963pt;mso-position-horizontal-relative:char;mso-position-vertical-relative:line" coordsize="61200,126">
                <v:shape id="Shape 285" style="position:absolute;width:61200;height:0;left:0;top:0;" coordsize="6120003,0" path="m0,0l6120003,0">
                  <v:stroke weight="0.9963pt" endcap="flat" joinstyle="miter" miterlimit="10" on="true" color="#000000"/>
                  <v:fill on="false" color="#000000" opacity="0"/>
                </v:shape>
              </v:group>
            </w:pict>
          </mc:Fallback>
        </mc:AlternateContent>
      </w:r>
    </w:p>
    <w:p w14:paraId="1B0835D6" w14:textId="77777777" w:rsidR="00046646" w:rsidRDefault="00410B1E">
      <w:pPr>
        <w:pStyle w:val="Heading1"/>
        <w:ind w:left="1118" w:hanging="1133"/>
      </w:pPr>
      <w:r>
        <w:t>Conclusions (if needed)</w:t>
      </w:r>
    </w:p>
    <w:p w14:paraId="25060758" w14:textId="77777777" w:rsidR="00046646" w:rsidRDefault="00410B1E">
      <w:pPr>
        <w:ind w:left="-5"/>
      </w:pPr>
      <w:r>
        <w:t>x</w:t>
      </w:r>
    </w:p>
    <w:p w14:paraId="73548213" w14:textId="77777777" w:rsidR="00046646" w:rsidRDefault="00410B1E">
      <w:pPr>
        <w:spacing w:after="125" w:line="259" w:lineRule="auto"/>
        <w:ind w:left="0" w:right="-23" w:firstLine="0"/>
      </w:pPr>
      <w:r>
        <w:rPr>
          <w:rFonts w:ascii="Calibri" w:eastAsia="Calibri" w:hAnsi="Calibri" w:cs="Calibri"/>
          <w:noProof/>
        </w:rPr>
        <mc:AlternateContent>
          <mc:Choice Requires="wpg">
            <w:drawing>
              <wp:inline distT="0" distB="0" distL="0" distR="0" wp14:anchorId="7EFFA3F5" wp14:editId="3041F6C0">
                <wp:extent cx="6120003" cy="12653"/>
                <wp:effectExtent l="0" t="0" r="0" b="0"/>
                <wp:docPr id="3324" name="Group 332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88" name="Shape 28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24" style="width:481.89pt;height:0.9963pt;mso-position-horizontal-relative:char;mso-position-vertical-relative:line" coordsize="61200,126">
                <v:shape id="Shape 288" style="position:absolute;width:61200;height:0;left:0;top:0;" coordsize="6120003,0" path="m0,0l6120003,0">
                  <v:stroke weight="0.9963pt" endcap="flat" joinstyle="miter" miterlimit="10" on="true" color="#000000"/>
                  <v:fill on="false" color="#000000" opacity="0"/>
                </v:shape>
              </v:group>
            </w:pict>
          </mc:Fallback>
        </mc:AlternateContent>
      </w:r>
    </w:p>
    <w:p w14:paraId="0C0EFB35" w14:textId="77777777" w:rsidR="00046646" w:rsidRDefault="00410B1E">
      <w:pPr>
        <w:pStyle w:val="Heading1"/>
        <w:ind w:left="1118" w:hanging="1133"/>
      </w:pPr>
      <w:r>
        <w:t>References</w:t>
      </w:r>
    </w:p>
    <w:p w14:paraId="35C7CDBD" w14:textId="77777777" w:rsidR="00046646" w:rsidRDefault="00410B1E">
      <w:pPr>
        <w:numPr>
          <w:ilvl w:val="0"/>
          <w:numId w:val="3"/>
        </w:numPr>
        <w:ind w:hanging="309"/>
      </w:pPr>
      <w:r>
        <w:t>R3-211466, “LS on Handover terminology” (SA5), RAN3 #112</w:t>
      </w:r>
    </w:p>
    <w:p w14:paraId="4D2C88F3" w14:textId="77777777" w:rsidR="00046646" w:rsidRDefault="00410B1E">
      <w:pPr>
        <w:numPr>
          <w:ilvl w:val="0"/>
          <w:numId w:val="3"/>
        </w:numPr>
        <w:ind w:hanging="309"/>
      </w:pPr>
      <w:r>
        <w:t>R3-211511, “Response LS to SA5 on handover terminology” (TSG RAN WG2), RAN3 #112</w:t>
      </w:r>
    </w:p>
    <w:p w14:paraId="408EC272" w14:textId="77777777" w:rsidR="00046646" w:rsidRDefault="00410B1E">
      <w:pPr>
        <w:numPr>
          <w:ilvl w:val="0"/>
          <w:numId w:val="3"/>
        </w:numPr>
        <w:ind w:hanging="309"/>
      </w:pPr>
      <w:r>
        <w:t>R3-211507, “Response LS on Handover terminology” (Nokia, Nokia Shanghai Bell</w:t>
      </w:r>
      <w:proofErr w:type="gramStart"/>
      <w:r>
        <w:t>) ,</w:t>
      </w:r>
      <w:proofErr w:type="gramEnd"/>
      <w:r>
        <w:t xml:space="preserve"> RAN3 #112</w:t>
      </w:r>
    </w:p>
    <w:p w14:paraId="3FC66608" w14:textId="77777777" w:rsidR="00046646" w:rsidRDefault="00410B1E">
      <w:pPr>
        <w:numPr>
          <w:ilvl w:val="0"/>
          <w:numId w:val="3"/>
        </w:numPr>
        <w:ind w:hanging="309"/>
      </w:pPr>
      <w:r>
        <w:t>R3-211998, “Discussion on ha</w:t>
      </w:r>
      <w:r>
        <w:t>ndover terminology” (Huawei</w:t>
      </w:r>
      <w:proofErr w:type="gramStart"/>
      <w:r>
        <w:t>) ,</w:t>
      </w:r>
      <w:proofErr w:type="gramEnd"/>
      <w:r>
        <w:t xml:space="preserve"> RAN3 #112</w:t>
      </w:r>
    </w:p>
    <w:p w14:paraId="394519D9" w14:textId="77777777" w:rsidR="00046646" w:rsidRDefault="00410B1E">
      <w:pPr>
        <w:numPr>
          <w:ilvl w:val="0"/>
          <w:numId w:val="3"/>
        </w:numPr>
        <w:ind w:hanging="309"/>
      </w:pPr>
      <w:r>
        <w:t>R3-211999, “[Draft] Reply LS on handover terminology” (Huawei</w:t>
      </w:r>
      <w:proofErr w:type="gramStart"/>
      <w:r>
        <w:t>) ,</w:t>
      </w:r>
      <w:proofErr w:type="gramEnd"/>
      <w:r>
        <w:t xml:space="preserve"> RAN3 #112</w:t>
      </w:r>
    </w:p>
    <w:p w14:paraId="2AFD649D" w14:textId="77777777" w:rsidR="00046646" w:rsidRDefault="00410B1E">
      <w:pPr>
        <w:numPr>
          <w:ilvl w:val="0"/>
          <w:numId w:val="3"/>
        </w:numPr>
        <w:ind w:hanging="309"/>
      </w:pPr>
      <w:r>
        <w:t>R3-212306, “Discussion on HO Terminology” (Ericsson</w:t>
      </w:r>
      <w:proofErr w:type="gramStart"/>
      <w:r>
        <w:t>) ,</w:t>
      </w:r>
      <w:proofErr w:type="gramEnd"/>
      <w:r>
        <w:t xml:space="preserve"> RAN3 #112</w:t>
      </w:r>
    </w:p>
    <w:p w14:paraId="56099926" w14:textId="77777777" w:rsidR="00046646" w:rsidRDefault="00410B1E">
      <w:pPr>
        <w:numPr>
          <w:ilvl w:val="0"/>
          <w:numId w:val="3"/>
        </w:numPr>
        <w:spacing w:line="526" w:lineRule="auto"/>
        <w:ind w:hanging="309"/>
      </w:pPr>
      <w:r>
        <w:t>R3-212304, “Definition of Basic Handover” (Ericsson</w:t>
      </w:r>
      <w:proofErr w:type="gramStart"/>
      <w:r>
        <w:t>) ,</w:t>
      </w:r>
      <w:proofErr w:type="gramEnd"/>
      <w:r>
        <w:t xml:space="preserve"> RAN3 #112 [8] R3-212</w:t>
      </w:r>
      <w:r>
        <w:t>305, “Reply LS on Handover terminology” (Ericsson) , RAN3 #112 x</w:t>
      </w:r>
    </w:p>
    <w:sectPr w:rsidR="00046646">
      <w:footerReference w:type="even" r:id="rId7"/>
      <w:footerReference w:type="default" r:id="rId8"/>
      <w:footerReference w:type="first" r:id="rId9"/>
      <w:pgSz w:w="11906" w:h="16838"/>
      <w:pgMar w:top="1421" w:right="1156" w:bottom="1344"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AFD04" w14:textId="77777777" w:rsidR="00410B1E" w:rsidRDefault="00410B1E">
      <w:pPr>
        <w:spacing w:after="0" w:line="240" w:lineRule="auto"/>
      </w:pPr>
      <w:r>
        <w:separator/>
      </w:r>
    </w:p>
  </w:endnote>
  <w:endnote w:type="continuationSeparator" w:id="0">
    <w:p w14:paraId="3617843B" w14:textId="77777777" w:rsidR="00410B1E" w:rsidRDefault="0041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FFF93" w14:textId="77777777" w:rsidR="00046646" w:rsidRDefault="00410B1E">
    <w:pPr>
      <w:spacing w:after="0" w:line="259" w:lineRule="auto"/>
      <w:ind w:left="23"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2EBDF" w14:textId="77777777" w:rsidR="00046646" w:rsidRDefault="00410B1E">
    <w:pPr>
      <w:spacing w:after="0" w:line="259" w:lineRule="auto"/>
      <w:ind w:left="23"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356B" w14:textId="77777777" w:rsidR="00046646" w:rsidRDefault="00410B1E">
    <w:pPr>
      <w:spacing w:after="0" w:line="259" w:lineRule="auto"/>
      <w:ind w:left="23"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E767F" w14:textId="77777777" w:rsidR="00410B1E" w:rsidRDefault="00410B1E">
      <w:pPr>
        <w:spacing w:after="0" w:line="240" w:lineRule="auto"/>
      </w:pPr>
      <w:r>
        <w:separator/>
      </w:r>
    </w:p>
  </w:footnote>
  <w:footnote w:type="continuationSeparator" w:id="0">
    <w:p w14:paraId="71C39F05" w14:textId="77777777" w:rsidR="00410B1E" w:rsidRDefault="00410B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3612F"/>
    <w:multiLevelType w:val="hybridMultilevel"/>
    <w:tmpl w:val="457C1EE6"/>
    <w:lvl w:ilvl="0" w:tplc="A13289D0">
      <w:start w:val="1"/>
      <w:numFmt w:val="decimal"/>
      <w:lvlText w:val="[%1]"/>
      <w:lvlJc w:val="left"/>
      <w:pPr>
        <w:ind w:left="3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90932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EC11B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6A23AF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0C2AD8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0A706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F2A2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5C685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422D8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8BA6916"/>
    <w:multiLevelType w:val="multilevel"/>
    <w:tmpl w:val="76949180"/>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 w15:restartNumberingAfterBreak="0">
    <w:nsid w:val="3E1267A9"/>
    <w:multiLevelType w:val="hybridMultilevel"/>
    <w:tmpl w:val="FBD254EE"/>
    <w:lvl w:ilvl="0" w:tplc="BB6E23D6">
      <w:start w:val="1"/>
      <w:numFmt w:val="bullet"/>
      <w:lvlText w:val="*"/>
      <w:lvlJc w:val="left"/>
      <w:pPr>
        <w:ind w:left="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1898C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A5FA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DE85E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9A512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5C8697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7E6BE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82CB4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66FE3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0F82D75"/>
    <w:multiLevelType w:val="hybridMultilevel"/>
    <w:tmpl w:val="37B8DB8C"/>
    <w:lvl w:ilvl="0" w:tplc="2F9CF60C">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5EA9D2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16F22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301CA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8EFD9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84C0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A0EF96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DFAD65C">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A20F2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3506F75"/>
    <w:multiLevelType w:val="hybridMultilevel"/>
    <w:tmpl w:val="61067CBE"/>
    <w:lvl w:ilvl="0" w:tplc="F294A026">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7E8874">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2C2596">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E8443BE">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18A9A0">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8EB592">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08E1E0">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421D94">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9A3D6A">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646"/>
    <w:rsid w:val="00046646"/>
    <w:rsid w:val="0005759D"/>
    <w:rsid w:val="003D3E5F"/>
    <w:rsid w:val="00410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B9AF2"/>
  <w15:docId w15:val="{971DA4BE-B61F-492B-B6AB-A585C9C3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0"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5"/>
      </w:numPr>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5"/>
      </w:numPr>
      <w:spacing w:after="205"/>
      <w:ind w:left="10" w:hanging="10"/>
      <w:outlineLvl w:val="1"/>
    </w:pPr>
    <w:rPr>
      <w:rFonts w:ascii="Times New Roman" w:eastAsia="Times New Roman" w:hAnsi="Times New Roman" w:cs="Times New Roman"/>
      <w:color w:val="000000"/>
      <w:sz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05759D"/>
    <w:pPr>
      <w:widowControl w:val="0"/>
      <w:overflowPunct w:val="0"/>
      <w:autoSpaceDE w:val="0"/>
      <w:autoSpaceDN w:val="0"/>
      <w:adjustRightInd w:val="0"/>
      <w:spacing w:after="0" w:line="240" w:lineRule="auto"/>
      <w:ind w:left="0" w:firstLine="0"/>
      <w:textAlignment w:val="baseline"/>
    </w:pPr>
    <w:rPr>
      <w:rFonts w:ascii="Arial" w:eastAsia="Yu Mincho" w:hAnsi="Arial"/>
      <w:b/>
      <w:noProof/>
      <w:color w:val="auto"/>
      <w:sz w:val="18"/>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5759D"/>
    <w:rPr>
      <w:rFonts w:ascii="Arial" w:eastAsia="Yu Mincho" w:hAnsi="Arial" w:cs="Times New Roman"/>
      <w:b/>
      <w:noProof/>
      <w:sz w:val="18"/>
      <w:szCs w:val="20"/>
      <w:lang w:eastAsia="ja-JP"/>
    </w:rPr>
  </w:style>
  <w:style w:type="paragraph" w:customStyle="1" w:styleId="CRCoverPage">
    <w:name w:val="CR Cover Page"/>
    <w:link w:val="CRCoverPageZchn"/>
    <w:rsid w:val="0005759D"/>
    <w:pPr>
      <w:spacing w:after="120" w:line="240" w:lineRule="auto"/>
    </w:pPr>
    <w:rPr>
      <w:rFonts w:ascii="Arial" w:eastAsia="MS Mincho" w:hAnsi="Arial" w:cs="Times New Roman"/>
      <w:sz w:val="20"/>
      <w:szCs w:val="20"/>
      <w:lang w:eastAsia="en-US"/>
    </w:rPr>
  </w:style>
  <w:style w:type="character" w:customStyle="1" w:styleId="CRCoverPageZchn">
    <w:name w:val="CR Cover Page Zchn"/>
    <w:link w:val="CRCoverPage"/>
    <w:locked/>
    <w:rsid w:val="0005759D"/>
    <w:rPr>
      <w:rFonts w:ascii="Arial" w:eastAsia="MS Mincho"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1324</Words>
  <Characters>7547</Characters>
  <Application>Microsoft Office Word</Application>
  <DocSecurity>0</DocSecurity>
  <Lines>62</Lines>
  <Paragraphs>17</Paragraphs>
  <ScaleCrop>false</ScaleCrop>
  <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3</cp:revision>
  <dcterms:created xsi:type="dcterms:W3CDTF">2021-05-25T16:09:00Z</dcterms:created>
  <dcterms:modified xsi:type="dcterms:W3CDTF">2021-05-25T16:11:00Z</dcterms:modified>
</cp:coreProperties>
</file>